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29F" w:rsidRPr="00AD2F77" w:rsidRDefault="0036129F" w:rsidP="0036129F">
      <w:pPr>
        <w:rPr>
          <w:sz w:val="18"/>
          <w:szCs w:val="18"/>
        </w:rPr>
      </w:pPr>
      <w:bookmarkStart w:id="0" w:name="_GoBack"/>
      <w:bookmarkEnd w:id="0"/>
    </w:p>
    <w:tbl>
      <w:tblPr>
        <w:tblStyle w:val="MediumGrid2-Accent6"/>
        <w:tblW w:w="0" w:type="auto"/>
        <w:tblLook w:val="04A0" w:firstRow="1" w:lastRow="0" w:firstColumn="1" w:lastColumn="0" w:noHBand="0" w:noVBand="1"/>
      </w:tblPr>
      <w:tblGrid>
        <w:gridCol w:w="2402"/>
        <w:gridCol w:w="4336"/>
        <w:gridCol w:w="4278"/>
      </w:tblGrid>
      <w:tr w:rsidR="00923AC4" w:rsidRPr="00AD2F77" w:rsidTr="00923AC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03" w:type="dxa"/>
            <w:vAlign w:val="center"/>
          </w:tcPr>
          <w:p w:rsidR="00923AC4" w:rsidRPr="00AD2F77" w:rsidRDefault="00923AC4" w:rsidP="0036129F">
            <w:pPr>
              <w:jc w:val="center"/>
              <w:rPr>
                <w:rFonts w:ascii="Arial" w:hAnsi="Arial" w:cs="Arial"/>
                <w:sz w:val="18"/>
                <w:szCs w:val="18"/>
              </w:rPr>
            </w:pPr>
            <w:r w:rsidRPr="00AD2F77">
              <w:rPr>
                <w:rFonts w:ascii="Arial" w:hAnsi="Arial" w:cs="Arial"/>
                <w:sz w:val="18"/>
                <w:szCs w:val="18"/>
              </w:rPr>
              <w:t>Disciplines</w:t>
            </w:r>
          </w:p>
          <w:p w:rsidR="00923AC4" w:rsidRPr="00AD2F77" w:rsidRDefault="00923AC4" w:rsidP="0036129F">
            <w:pPr>
              <w:jc w:val="center"/>
              <w:rPr>
                <w:rFonts w:ascii="Arial" w:hAnsi="Arial" w:cs="Arial"/>
                <w:sz w:val="18"/>
                <w:szCs w:val="18"/>
              </w:rPr>
            </w:pPr>
          </w:p>
        </w:tc>
        <w:tc>
          <w:tcPr>
            <w:tcW w:w="5575" w:type="dxa"/>
            <w:vAlign w:val="center"/>
          </w:tcPr>
          <w:p w:rsidR="00923AC4" w:rsidRPr="00AD2F77" w:rsidRDefault="00923AC4" w:rsidP="0036129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AD2F77">
              <w:rPr>
                <w:rFonts w:ascii="Arial" w:hAnsi="Arial" w:cs="Arial"/>
                <w:sz w:val="18"/>
                <w:szCs w:val="18"/>
              </w:rPr>
              <w:t>Primary</w:t>
            </w:r>
            <w:proofErr w:type="spellEnd"/>
            <w:r w:rsidRPr="00AD2F77">
              <w:rPr>
                <w:rFonts w:ascii="Arial" w:hAnsi="Arial" w:cs="Arial"/>
                <w:sz w:val="18"/>
                <w:szCs w:val="18"/>
              </w:rPr>
              <w:t xml:space="preserve"> </w:t>
            </w:r>
            <w:proofErr w:type="spellStart"/>
            <w:r w:rsidRPr="00AD2F77">
              <w:rPr>
                <w:rFonts w:ascii="Arial" w:hAnsi="Arial" w:cs="Arial"/>
                <w:sz w:val="18"/>
                <w:szCs w:val="18"/>
              </w:rPr>
              <w:t>Sources</w:t>
            </w:r>
            <w:proofErr w:type="spellEnd"/>
          </w:p>
        </w:tc>
        <w:tc>
          <w:tcPr>
            <w:tcW w:w="5580" w:type="dxa"/>
            <w:vAlign w:val="center"/>
          </w:tcPr>
          <w:p w:rsidR="00923AC4" w:rsidRPr="00AD2F77" w:rsidRDefault="00923AC4" w:rsidP="0036129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AD2F77">
              <w:rPr>
                <w:rFonts w:ascii="Arial" w:hAnsi="Arial" w:cs="Arial"/>
                <w:sz w:val="18"/>
                <w:szCs w:val="18"/>
              </w:rPr>
              <w:t>Secondary</w:t>
            </w:r>
            <w:proofErr w:type="spellEnd"/>
            <w:r w:rsidRPr="00AD2F77">
              <w:rPr>
                <w:rFonts w:ascii="Arial" w:hAnsi="Arial" w:cs="Arial"/>
                <w:sz w:val="18"/>
                <w:szCs w:val="18"/>
              </w:rPr>
              <w:t xml:space="preserve"> </w:t>
            </w:r>
            <w:proofErr w:type="spellStart"/>
            <w:r w:rsidRPr="00AD2F77">
              <w:rPr>
                <w:rFonts w:ascii="Arial" w:hAnsi="Arial" w:cs="Arial"/>
                <w:sz w:val="18"/>
                <w:szCs w:val="18"/>
              </w:rPr>
              <w:t>Sources</w:t>
            </w:r>
            <w:proofErr w:type="spellEnd"/>
          </w:p>
        </w:tc>
      </w:tr>
      <w:tr w:rsidR="00923AC4" w:rsidRPr="00AD2F77" w:rsidTr="00923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3" w:type="dxa"/>
          </w:tcPr>
          <w:p w:rsidR="00923AC4" w:rsidRPr="00AD2F77" w:rsidRDefault="00923AC4" w:rsidP="00086E6D">
            <w:pPr>
              <w:jc w:val="center"/>
              <w:rPr>
                <w:rFonts w:ascii="Arial" w:hAnsi="Arial" w:cs="Arial"/>
                <w:sz w:val="18"/>
                <w:szCs w:val="18"/>
                <w:lang w:val="en-US"/>
              </w:rPr>
            </w:pPr>
          </w:p>
          <w:p w:rsidR="00923AC4" w:rsidRPr="00AD2F77" w:rsidRDefault="00923AC4" w:rsidP="00086E6D">
            <w:pPr>
              <w:jc w:val="center"/>
              <w:rPr>
                <w:rFonts w:ascii="Arial" w:hAnsi="Arial" w:cs="Arial"/>
                <w:b w:val="0"/>
                <w:sz w:val="18"/>
                <w:szCs w:val="18"/>
                <w:lang w:val="en-US"/>
              </w:rPr>
            </w:pPr>
            <w:r w:rsidRPr="00AD2F77">
              <w:rPr>
                <w:rFonts w:ascii="Arial" w:hAnsi="Arial" w:cs="Arial"/>
                <w:sz w:val="18"/>
                <w:szCs w:val="18"/>
                <w:lang w:val="en-US"/>
              </w:rPr>
              <w:t>Music</w:t>
            </w:r>
          </w:p>
          <w:p w:rsidR="00923AC4" w:rsidRPr="00AD2F77" w:rsidRDefault="00923AC4" w:rsidP="00086E6D">
            <w:pPr>
              <w:jc w:val="center"/>
              <w:rPr>
                <w:rFonts w:ascii="Arial" w:hAnsi="Arial" w:cs="Arial"/>
                <w:b w:val="0"/>
                <w:sz w:val="18"/>
                <w:szCs w:val="18"/>
                <w:lang w:val="en-US"/>
              </w:rPr>
            </w:pPr>
          </w:p>
          <w:p w:rsidR="00923AC4" w:rsidRPr="00AD2F77" w:rsidRDefault="00923AC4" w:rsidP="0043214D">
            <w:pPr>
              <w:ind w:left="450" w:hanging="450"/>
              <w:rPr>
                <w:rFonts w:ascii="Arial" w:hAnsi="Arial" w:cs="Arial"/>
                <w:b w:val="0"/>
                <w:sz w:val="18"/>
                <w:szCs w:val="18"/>
                <w:lang w:val="en-US"/>
              </w:rPr>
            </w:pPr>
            <w:proofErr w:type="spellStart"/>
            <w:r w:rsidRPr="00AD2F77">
              <w:rPr>
                <w:rFonts w:ascii="Arial" w:hAnsi="Arial" w:cs="Arial"/>
                <w:b w:val="0"/>
                <w:sz w:val="18"/>
                <w:szCs w:val="18"/>
                <w:lang w:val="en-US"/>
              </w:rPr>
              <w:t>Keeran</w:t>
            </w:r>
            <w:proofErr w:type="spellEnd"/>
            <w:r w:rsidRPr="00AD2F77">
              <w:rPr>
                <w:rFonts w:ascii="Arial" w:hAnsi="Arial" w:cs="Arial"/>
                <w:b w:val="0"/>
                <w:sz w:val="18"/>
                <w:szCs w:val="18"/>
                <w:lang w:val="en-US"/>
              </w:rPr>
              <w:t xml:space="preserve">, P. (2007). </w:t>
            </w:r>
            <w:r w:rsidRPr="00AD2F77">
              <w:rPr>
                <w:rFonts w:ascii="Arial" w:hAnsi="Arial" w:cs="Arial"/>
                <w:b w:val="0"/>
                <w:i/>
                <w:iCs/>
                <w:sz w:val="18"/>
                <w:szCs w:val="18"/>
                <w:lang w:val="en-US"/>
              </w:rPr>
              <w:t>Research within the disciplines: Foundations for reference and library instruction</w:t>
            </w:r>
            <w:r w:rsidRPr="00AD2F77">
              <w:rPr>
                <w:rFonts w:ascii="Arial" w:hAnsi="Arial" w:cs="Arial"/>
                <w:b w:val="0"/>
                <w:sz w:val="18"/>
                <w:szCs w:val="18"/>
                <w:lang w:val="en-US"/>
              </w:rPr>
              <w:t xml:space="preserve">. </w:t>
            </w:r>
            <w:proofErr w:type="spellStart"/>
            <w:r w:rsidRPr="00AD2F77">
              <w:rPr>
                <w:rFonts w:ascii="Arial" w:hAnsi="Arial" w:cs="Arial"/>
                <w:b w:val="0"/>
                <w:sz w:val="18"/>
                <w:szCs w:val="18"/>
              </w:rPr>
              <w:t>Lanham</w:t>
            </w:r>
            <w:proofErr w:type="spellEnd"/>
            <w:r w:rsidRPr="00AD2F77">
              <w:rPr>
                <w:rFonts w:ascii="Arial" w:hAnsi="Arial" w:cs="Arial"/>
                <w:b w:val="0"/>
                <w:sz w:val="18"/>
                <w:szCs w:val="18"/>
              </w:rPr>
              <w:t xml:space="preserve">, Md: </w:t>
            </w:r>
            <w:proofErr w:type="spellStart"/>
            <w:r w:rsidRPr="00AD2F77">
              <w:rPr>
                <w:rFonts w:ascii="Arial" w:hAnsi="Arial" w:cs="Arial"/>
                <w:b w:val="0"/>
                <w:sz w:val="18"/>
                <w:szCs w:val="18"/>
              </w:rPr>
              <w:t>Scarecrow</w:t>
            </w:r>
            <w:proofErr w:type="spellEnd"/>
            <w:r w:rsidRPr="00AD2F77">
              <w:rPr>
                <w:rFonts w:ascii="Arial" w:hAnsi="Arial" w:cs="Arial"/>
                <w:b w:val="0"/>
                <w:sz w:val="18"/>
                <w:szCs w:val="18"/>
              </w:rPr>
              <w:t xml:space="preserve"> </w:t>
            </w:r>
            <w:proofErr w:type="spellStart"/>
            <w:r w:rsidRPr="00AD2F77">
              <w:rPr>
                <w:rFonts w:ascii="Arial" w:hAnsi="Arial" w:cs="Arial"/>
                <w:b w:val="0"/>
                <w:sz w:val="18"/>
                <w:szCs w:val="18"/>
              </w:rPr>
              <w:t>Press</w:t>
            </w:r>
            <w:proofErr w:type="spellEnd"/>
            <w:r w:rsidRPr="00AD2F77">
              <w:rPr>
                <w:rFonts w:ascii="Arial" w:hAnsi="Arial" w:cs="Arial"/>
                <w:b w:val="0"/>
                <w:sz w:val="18"/>
                <w:szCs w:val="18"/>
              </w:rPr>
              <w:t>. (p.45)</w:t>
            </w:r>
          </w:p>
        </w:tc>
        <w:tc>
          <w:tcPr>
            <w:tcW w:w="5575" w:type="dxa"/>
          </w:tcPr>
          <w:p w:rsidR="00923AC4" w:rsidRPr="00AD2F77" w:rsidRDefault="00923AC4" w:rsidP="00007898">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923AC4" w:rsidRPr="00AD2F77" w:rsidRDefault="00923AC4" w:rsidP="00007898">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roofErr w:type="gramStart"/>
            <w:r w:rsidRPr="00AD2F77">
              <w:rPr>
                <w:rFonts w:ascii="Arial" w:hAnsi="Arial" w:cs="Arial"/>
                <w:sz w:val="18"/>
                <w:szCs w:val="18"/>
                <w:lang w:val="en-US"/>
              </w:rPr>
              <w:t>primary</w:t>
            </w:r>
            <w:proofErr w:type="gramEnd"/>
            <w:r w:rsidRPr="00AD2F77">
              <w:rPr>
                <w:rFonts w:ascii="Arial" w:hAnsi="Arial" w:cs="Arial"/>
                <w:sz w:val="18"/>
                <w:szCs w:val="18"/>
                <w:lang w:val="en-US"/>
              </w:rPr>
              <w:t xml:space="preserve"> source materials include composer sketches, manuscripts, the autograph manuscript, and fair copy corrected and signed by the composer. Facsimile reproductions of any of the preceding may in many cases also qualify.</w:t>
            </w:r>
          </w:p>
        </w:tc>
        <w:tc>
          <w:tcPr>
            <w:tcW w:w="5580" w:type="dxa"/>
          </w:tcPr>
          <w:p w:rsidR="00923AC4" w:rsidRPr="00AD2F77" w:rsidRDefault="00923AC4" w:rsidP="00007898">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923AC4" w:rsidRPr="00AD2F77" w:rsidRDefault="00923AC4" w:rsidP="00007898">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 xml:space="preserve">Subsequently, secondary sources would include scholarly editions, </w:t>
            </w:r>
            <w:proofErr w:type="spellStart"/>
            <w:r w:rsidRPr="00AD2F77">
              <w:rPr>
                <w:rFonts w:ascii="Arial" w:hAnsi="Arial" w:cs="Arial"/>
                <w:sz w:val="18"/>
                <w:szCs w:val="18"/>
                <w:lang w:val="en-US"/>
              </w:rPr>
              <w:t>urtext</w:t>
            </w:r>
            <w:proofErr w:type="spellEnd"/>
            <w:r w:rsidRPr="00AD2F77">
              <w:rPr>
                <w:rFonts w:ascii="Arial" w:hAnsi="Arial" w:cs="Arial"/>
                <w:sz w:val="18"/>
                <w:szCs w:val="18"/>
                <w:lang w:val="en-US"/>
              </w:rPr>
              <w:t xml:space="preserve"> editions (printed musical editions without editorial additions to the score), and any other editions of the work, including corrupt editions (printed editions may enjoy a certain period of being considered good until proven to be aberrant from the composer’s intentions) and audio or video recordings of the work.</w:t>
            </w:r>
          </w:p>
        </w:tc>
      </w:tr>
      <w:tr w:rsidR="00923AC4" w:rsidRPr="00AD2F77" w:rsidTr="00923AC4">
        <w:tc>
          <w:tcPr>
            <w:cnfStyle w:val="001000000000" w:firstRow="0" w:lastRow="0" w:firstColumn="1" w:lastColumn="0" w:oddVBand="0" w:evenVBand="0" w:oddHBand="0" w:evenHBand="0" w:firstRowFirstColumn="0" w:firstRowLastColumn="0" w:lastRowFirstColumn="0" w:lastRowLastColumn="0"/>
            <w:tcW w:w="2903" w:type="dxa"/>
          </w:tcPr>
          <w:p w:rsidR="00923AC4" w:rsidRPr="00AD2F77" w:rsidRDefault="00923AC4" w:rsidP="00086E6D">
            <w:pPr>
              <w:jc w:val="center"/>
              <w:rPr>
                <w:rFonts w:ascii="Arial" w:hAnsi="Arial" w:cs="Arial"/>
                <w:sz w:val="18"/>
                <w:szCs w:val="18"/>
                <w:lang w:val="en-US"/>
              </w:rPr>
            </w:pPr>
          </w:p>
          <w:p w:rsidR="00923AC4" w:rsidRPr="00AD2F77" w:rsidRDefault="00923AC4" w:rsidP="00086E6D">
            <w:pPr>
              <w:jc w:val="center"/>
              <w:rPr>
                <w:rFonts w:ascii="Arial" w:hAnsi="Arial" w:cs="Arial"/>
                <w:b w:val="0"/>
                <w:sz w:val="18"/>
                <w:szCs w:val="18"/>
                <w:lang w:val="en-US"/>
              </w:rPr>
            </w:pPr>
            <w:r w:rsidRPr="00AD2F77">
              <w:rPr>
                <w:rFonts w:ascii="Arial" w:hAnsi="Arial" w:cs="Arial"/>
                <w:sz w:val="18"/>
                <w:szCs w:val="18"/>
                <w:lang w:val="en-US"/>
              </w:rPr>
              <w:t>History</w:t>
            </w:r>
          </w:p>
          <w:p w:rsidR="00923AC4" w:rsidRPr="00AD2F77" w:rsidRDefault="00923AC4" w:rsidP="0043214D">
            <w:pPr>
              <w:ind w:left="450" w:hanging="450"/>
              <w:rPr>
                <w:rFonts w:ascii="Arial" w:hAnsi="Arial" w:cs="Arial"/>
                <w:b w:val="0"/>
                <w:sz w:val="18"/>
                <w:szCs w:val="18"/>
                <w:lang w:val="en-US"/>
              </w:rPr>
            </w:pPr>
            <w:proofErr w:type="spellStart"/>
            <w:r w:rsidRPr="00AD2F77">
              <w:rPr>
                <w:rFonts w:ascii="Arial" w:hAnsi="Arial" w:cs="Arial"/>
                <w:b w:val="0"/>
                <w:sz w:val="18"/>
                <w:szCs w:val="18"/>
                <w:lang w:val="en-US"/>
              </w:rPr>
              <w:t>Keeran</w:t>
            </w:r>
            <w:proofErr w:type="spellEnd"/>
            <w:r w:rsidRPr="00AD2F77">
              <w:rPr>
                <w:rFonts w:ascii="Arial" w:hAnsi="Arial" w:cs="Arial"/>
                <w:b w:val="0"/>
                <w:sz w:val="18"/>
                <w:szCs w:val="18"/>
                <w:lang w:val="en-US"/>
              </w:rPr>
              <w:t xml:space="preserve">, P. (2007). </w:t>
            </w:r>
            <w:r w:rsidRPr="00AD2F77">
              <w:rPr>
                <w:rFonts w:ascii="Arial" w:hAnsi="Arial" w:cs="Arial"/>
                <w:b w:val="0"/>
                <w:i/>
                <w:iCs/>
                <w:sz w:val="18"/>
                <w:szCs w:val="18"/>
                <w:lang w:val="en-US"/>
              </w:rPr>
              <w:t>Research within the disciplines: Foundations for reference and library instruction</w:t>
            </w:r>
            <w:r w:rsidRPr="00AD2F77">
              <w:rPr>
                <w:rFonts w:ascii="Arial" w:hAnsi="Arial" w:cs="Arial"/>
                <w:b w:val="0"/>
                <w:sz w:val="18"/>
                <w:szCs w:val="18"/>
                <w:lang w:val="en-US"/>
              </w:rPr>
              <w:t xml:space="preserve">. </w:t>
            </w:r>
            <w:proofErr w:type="spellStart"/>
            <w:r w:rsidRPr="00AD2F77">
              <w:rPr>
                <w:rFonts w:ascii="Arial" w:hAnsi="Arial" w:cs="Arial"/>
                <w:b w:val="0"/>
                <w:sz w:val="18"/>
                <w:szCs w:val="18"/>
              </w:rPr>
              <w:t>Lanham</w:t>
            </w:r>
            <w:proofErr w:type="spellEnd"/>
            <w:r w:rsidRPr="00AD2F77">
              <w:rPr>
                <w:rFonts w:ascii="Arial" w:hAnsi="Arial" w:cs="Arial"/>
                <w:b w:val="0"/>
                <w:sz w:val="18"/>
                <w:szCs w:val="18"/>
              </w:rPr>
              <w:t xml:space="preserve">, Md: </w:t>
            </w:r>
            <w:proofErr w:type="spellStart"/>
            <w:r w:rsidRPr="00AD2F77">
              <w:rPr>
                <w:rFonts w:ascii="Arial" w:hAnsi="Arial" w:cs="Arial"/>
                <w:b w:val="0"/>
                <w:sz w:val="18"/>
                <w:szCs w:val="18"/>
              </w:rPr>
              <w:t>Scarecrow</w:t>
            </w:r>
            <w:proofErr w:type="spellEnd"/>
            <w:r w:rsidRPr="00AD2F77">
              <w:rPr>
                <w:rFonts w:ascii="Arial" w:hAnsi="Arial" w:cs="Arial"/>
                <w:b w:val="0"/>
                <w:sz w:val="18"/>
                <w:szCs w:val="18"/>
              </w:rPr>
              <w:t xml:space="preserve"> </w:t>
            </w:r>
            <w:proofErr w:type="spellStart"/>
            <w:r w:rsidRPr="00AD2F77">
              <w:rPr>
                <w:rFonts w:ascii="Arial" w:hAnsi="Arial" w:cs="Arial"/>
                <w:b w:val="0"/>
                <w:sz w:val="18"/>
                <w:szCs w:val="18"/>
              </w:rPr>
              <w:t>Press</w:t>
            </w:r>
            <w:proofErr w:type="spellEnd"/>
            <w:r w:rsidRPr="00AD2F77">
              <w:rPr>
                <w:rFonts w:ascii="Arial" w:hAnsi="Arial" w:cs="Arial"/>
                <w:b w:val="0"/>
                <w:sz w:val="18"/>
                <w:szCs w:val="18"/>
              </w:rPr>
              <w:t>. (pp.62-67)</w:t>
            </w:r>
          </w:p>
        </w:tc>
        <w:tc>
          <w:tcPr>
            <w:tcW w:w="5575" w:type="dxa"/>
          </w:tcPr>
          <w:p w:rsidR="00923AC4" w:rsidRPr="00AD2F77" w:rsidRDefault="00923AC4"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 xml:space="preserve">Primary sources are the original documents, in whatever format, that historians use to understand the people and events of the past. Written at or near the time of the event, primary sources give the closest glimpse possible of the thoughts and intentions of the historical actors involved.  … Primary sources can include diaries, journals, correspondence, interviews, or memoirs, whether written or conducted at the time or many years later by someone who participated in the event of interest. </w:t>
            </w:r>
          </w:p>
          <w:p w:rsidR="00923AC4" w:rsidRPr="00AD2F77" w:rsidRDefault="00923AC4"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 xml:space="preserve">Primary literature allows the historian to get as close as possible to the original event. </w:t>
            </w:r>
          </w:p>
          <w:p w:rsidR="00923AC4" w:rsidRPr="00AD2F77" w:rsidRDefault="00923AC4"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Newspaper articles or other secondary publications, written about the event in question, can be treated as primary sources as well if they can provide insight into the thoughts of contemporaries. Anything that can be used to further understanding of the event can be treated as a primary source.</w:t>
            </w:r>
          </w:p>
          <w:p w:rsidR="00923AC4" w:rsidRPr="00AD2F77" w:rsidRDefault="00923AC4"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 xml:space="preserve">Context will determine whether a source should be treated as primary or secondary. </w:t>
            </w:r>
          </w:p>
          <w:p w:rsidR="00923AC4" w:rsidRPr="00AD2F77" w:rsidRDefault="00923AC4"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Default="00923AC4"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Therefore, when helping someone with historical research, it is vital to understand the context of the research project in order to best determine how to search for primary and secondary source material.</w:t>
            </w:r>
          </w:p>
          <w:p w:rsidR="00AD2F77" w:rsidRDefault="00AD2F77"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AD2F77" w:rsidRPr="00AD2F77" w:rsidRDefault="00AD2F77" w:rsidP="001965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4F2D8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tc>
        <w:tc>
          <w:tcPr>
            <w:tcW w:w="5580" w:type="dxa"/>
          </w:tcPr>
          <w:p w:rsidR="00923AC4" w:rsidRPr="00AD2F77" w:rsidRDefault="00923AC4" w:rsidP="00447E4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447E4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 xml:space="preserve">Secondary sources are books, articles, interviews, speeches, videos and the like that interpret events of the past.  Sources of this sort are written or compiled with the intent of furthering our understanding of the original documents of the time. Secondary literature can be from any period, whether written by someone at the time of the event or thousands of years later. </w:t>
            </w:r>
          </w:p>
          <w:p w:rsidR="00923AC4" w:rsidRPr="00AD2F77" w:rsidRDefault="00923AC4" w:rsidP="00447E4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4F2D8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 xml:space="preserve">Secondary literature can help a researcher understand the context of a historical problem. </w:t>
            </w:r>
          </w:p>
        </w:tc>
      </w:tr>
      <w:tr w:rsidR="00923AC4" w:rsidRPr="00AD2F77" w:rsidTr="00923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3" w:type="dxa"/>
          </w:tcPr>
          <w:p w:rsidR="00923AC4" w:rsidRPr="00AD2F77" w:rsidRDefault="00923AC4" w:rsidP="00086E6D">
            <w:pPr>
              <w:jc w:val="center"/>
              <w:rPr>
                <w:rFonts w:ascii="Arial" w:hAnsi="Arial" w:cs="Arial"/>
                <w:sz w:val="18"/>
                <w:szCs w:val="18"/>
                <w:lang w:val="en-US"/>
              </w:rPr>
            </w:pPr>
          </w:p>
          <w:p w:rsidR="00923AC4" w:rsidRPr="00AD2F77" w:rsidRDefault="00923AC4" w:rsidP="00086E6D">
            <w:pPr>
              <w:jc w:val="center"/>
              <w:rPr>
                <w:rFonts w:ascii="Arial" w:hAnsi="Arial" w:cs="Arial"/>
                <w:b w:val="0"/>
                <w:sz w:val="18"/>
                <w:szCs w:val="18"/>
                <w:lang w:val="en-US"/>
              </w:rPr>
            </w:pPr>
            <w:r w:rsidRPr="00AD2F77">
              <w:rPr>
                <w:rFonts w:ascii="Arial" w:hAnsi="Arial" w:cs="Arial"/>
                <w:sz w:val="18"/>
                <w:szCs w:val="18"/>
                <w:lang w:val="en-US"/>
              </w:rPr>
              <w:t>Architecture</w:t>
            </w:r>
          </w:p>
          <w:p w:rsidR="00923AC4" w:rsidRPr="00AD2F77" w:rsidRDefault="00923AC4" w:rsidP="00086E6D">
            <w:pPr>
              <w:jc w:val="center"/>
              <w:rPr>
                <w:rFonts w:ascii="Arial" w:hAnsi="Arial" w:cs="Arial"/>
                <w:b w:val="0"/>
                <w:sz w:val="18"/>
                <w:szCs w:val="18"/>
                <w:lang w:val="en-US"/>
              </w:rPr>
            </w:pPr>
          </w:p>
          <w:p w:rsidR="00923AC4" w:rsidRPr="00AD2F77" w:rsidRDefault="00923AC4" w:rsidP="0043214D">
            <w:pPr>
              <w:ind w:left="450" w:hanging="450"/>
              <w:rPr>
                <w:rFonts w:ascii="Arial" w:hAnsi="Arial" w:cs="Arial"/>
                <w:b w:val="0"/>
                <w:sz w:val="18"/>
                <w:szCs w:val="18"/>
                <w:lang w:val="en-US"/>
              </w:rPr>
            </w:pPr>
            <w:proofErr w:type="spellStart"/>
            <w:r w:rsidRPr="00AD2F77">
              <w:rPr>
                <w:rFonts w:ascii="Arial" w:hAnsi="Arial" w:cs="Arial"/>
                <w:b w:val="0"/>
                <w:sz w:val="18"/>
                <w:szCs w:val="18"/>
                <w:lang w:val="en-US"/>
              </w:rPr>
              <w:t>Groat</w:t>
            </w:r>
            <w:proofErr w:type="spellEnd"/>
            <w:r w:rsidRPr="00AD2F77">
              <w:rPr>
                <w:rFonts w:ascii="Arial" w:hAnsi="Arial" w:cs="Arial"/>
                <w:b w:val="0"/>
                <w:sz w:val="18"/>
                <w:szCs w:val="18"/>
                <w:lang w:val="en-US"/>
              </w:rPr>
              <w:t xml:space="preserve">, L., &amp; Wang, D. (2002). </w:t>
            </w:r>
            <w:r w:rsidRPr="00AD2F77">
              <w:rPr>
                <w:rFonts w:ascii="Arial" w:hAnsi="Arial" w:cs="Arial"/>
                <w:b w:val="0"/>
                <w:i/>
                <w:iCs/>
                <w:sz w:val="18"/>
                <w:szCs w:val="18"/>
                <w:lang w:val="en-US"/>
              </w:rPr>
              <w:t>Architectural research methods</w:t>
            </w:r>
            <w:r w:rsidRPr="00AD2F77">
              <w:rPr>
                <w:rFonts w:ascii="Arial" w:hAnsi="Arial" w:cs="Arial"/>
                <w:b w:val="0"/>
                <w:sz w:val="18"/>
                <w:szCs w:val="18"/>
                <w:lang w:val="en-US"/>
              </w:rPr>
              <w:t>. New York, NY: Wiley. (p.60)</w:t>
            </w:r>
          </w:p>
          <w:p w:rsidR="00923AC4" w:rsidRPr="00AD2F77" w:rsidRDefault="00923AC4" w:rsidP="0043214D">
            <w:pPr>
              <w:ind w:left="450" w:hanging="450"/>
              <w:rPr>
                <w:rFonts w:ascii="Arial" w:hAnsi="Arial" w:cs="Arial"/>
                <w:b w:val="0"/>
                <w:sz w:val="18"/>
                <w:szCs w:val="18"/>
                <w:lang w:val="en-US"/>
              </w:rPr>
            </w:pPr>
          </w:p>
          <w:p w:rsidR="00923AC4" w:rsidRPr="00AD2F77" w:rsidRDefault="00923AC4" w:rsidP="0043214D">
            <w:pPr>
              <w:ind w:left="450" w:hanging="450"/>
              <w:rPr>
                <w:rFonts w:ascii="Arial" w:hAnsi="Arial" w:cs="Arial"/>
                <w:b w:val="0"/>
                <w:sz w:val="18"/>
                <w:szCs w:val="18"/>
                <w:lang w:val="en-US"/>
              </w:rPr>
            </w:pPr>
          </w:p>
          <w:p w:rsidR="00923AC4" w:rsidRPr="00AD2F77" w:rsidRDefault="00923AC4" w:rsidP="0043214D">
            <w:pPr>
              <w:ind w:left="450" w:hanging="450"/>
              <w:rPr>
                <w:rFonts w:ascii="Arial" w:hAnsi="Arial" w:cs="Arial"/>
                <w:b w:val="0"/>
                <w:sz w:val="18"/>
                <w:szCs w:val="18"/>
                <w:lang w:val="en-US"/>
              </w:rPr>
            </w:pPr>
          </w:p>
        </w:tc>
        <w:tc>
          <w:tcPr>
            <w:tcW w:w="5575" w:type="dxa"/>
          </w:tcPr>
          <w:p w:rsidR="00923AC4" w:rsidRPr="00AD2F77" w:rsidRDefault="00923AC4"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923AC4" w:rsidRPr="00AD2F77" w:rsidRDefault="00923AC4"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 xml:space="preserve">Primary sources are </w:t>
            </w:r>
            <w:r w:rsidRPr="00AD2F77">
              <w:rPr>
                <w:rFonts w:ascii="Arial" w:hAnsi="Arial" w:cs="Arial"/>
                <w:i/>
                <w:sz w:val="18"/>
                <w:szCs w:val="18"/>
                <w:lang w:val="en-US"/>
              </w:rPr>
              <w:t xml:space="preserve">original </w:t>
            </w:r>
            <w:r w:rsidRPr="00AD2F77">
              <w:rPr>
                <w:rFonts w:ascii="Arial" w:hAnsi="Arial" w:cs="Arial"/>
                <w:sz w:val="18"/>
                <w:szCs w:val="18"/>
                <w:lang w:val="en-US"/>
              </w:rPr>
              <w:t xml:space="preserve">sources that, relative to the topic, are not essentially commentary </w:t>
            </w:r>
            <w:r w:rsidRPr="00AD2F77">
              <w:rPr>
                <w:rFonts w:ascii="Arial" w:hAnsi="Arial" w:cs="Arial"/>
                <w:i/>
                <w:sz w:val="18"/>
                <w:szCs w:val="18"/>
                <w:lang w:val="en-US"/>
              </w:rPr>
              <w:t>about</w:t>
            </w:r>
            <w:r w:rsidRPr="00AD2F77">
              <w:rPr>
                <w:rFonts w:ascii="Arial" w:hAnsi="Arial" w:cs="Arial"/>
                <w:sz w:val="18"/>
                <w:szCs w:val="18"/>
                <w:lang w:val="en-US"/>
              </w:rPr>
              <w:t xml:space="preserve"> the topic. Primary sources usually </w:t>
            </w:r>
            <w:r w:rsidRPr="00AD2F77">
              <w:rPr>
                <w:rFonts w:ascii="Arial" w:hAnsi="Arial" w:cs="Arial"/>
                <w:i/>
                <w:sz w:val="18"/>
                <w:szCs w:val="18"/>
                <w:lang w:val="en-US"/>
              </w:rPr>
              <w:t>are</w:t>
            </w:r>
            <w:r w:rsidRPr="00AD2F77">
              <w:rPr>
                <w:rFonts w:ascii="Arial" w:hAnsi="Arial" w:cs="Arial"/>
                <w:sz w:val="18"/>
                <w:szCs w:val="18"/>
                <w:lang w:val="en-US"/>
              </w:rPr>
              <w:t xml:space="preserve"> the topic that other sources comment </w:t>
            </w:r>
            <w:r w:rsidRPr="00AD2F77">
              <w:rPr>
                <w:rFonts w:ascii="Arial" w:hAnsi="Arial" w:cs="Arial"/>
                <w:i/>
                <w:sz w:val="18"/>
                <w:szCs w:val="18"/>
                <w:lang w:val="en-US"/>
              </w:rPr>
              <w:t>upon</w:t>
            </w:r>
            <w:r w:rsidRPr="00AD2F77">
              <w:rPr>
                <w:rFonts w:ascii="Arial" w:hAnsi="Arial" w:cs="Arial"/>
                <w:sz w:val="18"/>
                <w:szCs w:val="18"/>
                <w:lang w:val="en-US"/>
              </w:rPr>
              <w:t xml:space="preserve">. </w:t>
            </w:r>
          </w:p>
        </w:tc>
        <w:tc>
          <w:tcPr>
            <w:tcW w:w="5580" w:type="dxa"/>
          </w:tcPr>
          <w:p w:rsidR="00923AC4" w:rsidRPr="00AD2F77" w:rsidRDefault="00923AC4" w:rsidP="00447E4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923AC4" w:rsidRPr="00AD2F77" w:rsidRDefault="00923AC4" w:rsidP="00447E4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Those other sources, then, are the secondary sources.</w:t>
            </w:r>
          </w:p>
        </w:tc>
      </w:tr>
      <w:tr w:rsidR="00923AC4" w:rsidRPr="00AD2F77" w:rsidTr="00923AC4">
        <w:tc>
          <w:tcPr>
            <w:cnfStyle w:val="001000000000" w:firstRow="0" w:lastRow="0" w:firstColumn="1" w:lastColumn="0" w:oddVBand="0" w:evenVBand="0" w:oddHBand="0" w:evenHBand="0" w:firstRowFirstColumn="0" w:firstRowLastColumn="0" w:lastRowFirstColumn="0" w:lastRowLastColumn="0"/>
            <w:tcW w:w="2903" w:type="dxa"/>
          </w:tcPr>
          <w:p w:rsidR="00923AC4" w:rsidRDefault="00923AC4" w:rsidP="00086E6D">
            <w:pPr>
              <w:jc w:val="center"/>
              <w:rPr>
                <w:rFonts w:ascii="Arial" w:hAnsi="Arial" w:cs="Arial"/>
                <w:sz w:val="18"/>
                <w:szCs w:val="18"/>
                <w:lang w:val="en-US"/>
              </w:rPr>
            </w:pPr>
          </w:p>
          <w:p w:rsidR="00AD2F77" w:rsidRPr="00AD2F77" w:rsidRDefault="00AD2F77" w:rsidP="00086E6D">
            <w:pPr>
              <w:jc w:val="center"/>
              <w:rPr>
                <w:rFonts w:ascii="Arial" w:hAnsi="Arial" w:cs="Arial"/>
                <w:sz w:val="18"/>
                <w:szCs w:val="18"/>
                <w:lang w:val="en-US"/>
              </w:rPr>
            </w:pPr>
          </w:p>
          <w:p w:rsidR="00923AC4" w:rsidRPr="00AD2F77" w:rsidRDefault="00923AC4" w:rsidP="00086E6D">
            <w:pPr>
              <w:jc w:val="center"/>
              <w:rPr>
                <w:rFonts w:ascii="Arial" w:hAnsi="Arial" w:cs="Arial"/>
                <w:b w:val="0"/>
                <w:sz w:val="18"/>
                <w:szCs w:val="18"/>
                <w:lang w:val="en-US"/>
              </w:rPr>
            </w:pPr>
            <w:r w:rsidRPr="00AD2F77">
              <w:rPr>
                <w:rFonts w:ascii="Arial" w:hAnsi="Arial" w:cs="Arial"/>
                <w:sz w:val="18"/>
                <w:szCs w:val="18"/>
                <w:lang w:val="en-US"/>
              </w:rPr>
              <w:t>General</w:t>
            </w:r>
          </w:p>
          <w:p w:rsidR="00923AC4" w:rsidRPr="00AD2F77" w:rsidRDefault="00923AC4" w:rsidP="00086E6D">
            <w:pPr>
              <w:jc w:val="center"/>
              <w:rPr>
                <w:rFonts w:ascii="Arial" w:hAnsi="Arial" w:cs="Arial"/>
                <w:b w:val="0"/>
                <w:sz w:val="18"/>
                <w:szCs w:val="18"/>
                <w:lang w:val="en-US"/>
              </w:rPr>
            </w:pPr>
          </w:p>
          <w:p w:rsidR="00923AC4" w:rsidRPr="00AD2F77" w:rsidRDefault="00923AC4" w:rsidP="00823F8A">
            <w:pPr>
              <w:ind w:left="450" w:hanging="450"/>
              <w:rPr>
                <w:rFonts w:ascii="Arial" w:hAnsi="Arial" w:cs="Arial"/>
                <w:b w:val="0"/>
                <w:sz w:val="18"/>
                <w:szCs w:val="18"/>
              </w:rPr>
            </w:pPr>
            <w:proofErr w:type="spellStart"/>
            <w:r w:rsidRPr="00AD2F77">
              <w:rPr>
                <w:rFonts w:ascii="Arial" w:hAnsi="Arial" w:cs="Arial"/>
                <w:b w:val="0"/>
                <w:sz w:val="18"/>
                <w:szCs w:val="18"/>
                <w:lang w:val="en-US"/>
              </w:rPr>
              <w:t>Gibaldi</w:t>
            </w:r>
            <w:proofErr w:type="spellEnd"/>
            <w:r w:rsidRPr="00AD2F77">
              <w:rPr>
                <w:rFonts w:ascii="Arial" w:hAnsi="Arial" w:cs="Arial"/>
                <w:b w:val="0"/>
                <w:sz w:val="18"/>
                <w:szCs w:val="18"/>
                <w:lang w:val="en-US"/>
              </w:rPr>
              <w:t xml:space="preserve">, J. (2009). </w:t>
            </w:r>
            <w:r w:rsidRPr="00AD2F77">
              <w:rPr>
                <w:rFonts w:ascii="Arial" w:hAnsi="Arial" w:cs="Arial"/>
                <w:b w:val="0"/>
                <w:i/>
                <w:iCs/>
                <w:sz w:val="18"/>
                <w:szCs w:val="18"/>
                <w:lang w:val="en-US"/>
              </w:rPr>
              <w:t>MLA handbook for writers of research papers: 7th edition</w:t>
            </w:r>
            <w:r w:rsidRPr="00AD2F77">
              <w:rPr>
                <w:rFonts w:ascii="Arial" w:hAnsi="Arial" w:cs="Arial"/>
                <w:b w:val="0"/>
                <w:sz w:val="18"/>
                <w:szCs w:val="18"/>
                <w:lang w:val="en-US"/>
              </w:rPr>
              <w:t xml:space="preserve">. </w:t>
            </w:r>
            <w:r w:rsidRPr="00AD2F77">
              <w:rPr>
                <w:rFonts w:ascii="Arial" w:hAnsi="Arial" w:cs="Arial"/>
                <w:b w:val="0"/>
                <w:sz w:val="18"/>
                <w:szCs w:val="18"/>
              </w:rPr>
              <w:t xml:space="preserve">New York: Modern </w:t>
            </w:r>
            <w:proofErr w:type="spellStart"/>
            <w:r w:rsidRPr="00AD2F77">
              <w:rPr>
                <w:rFonts w:ascii="Arial" w:hAnsi="Arial" w:cs="Arial"/>
                <w:b w:val="0"/>
                <w:sz w:val="18"/>
                <w:szCs w:val="18"/>
              </w:rPr>
              <w:t>Language</w:t>
            </w:r>
            <w:proofErr w:type="spellEnd"/>
            <w:r w:rsidRPr="00AD2F77">
              <w:rPr>
                <w:rFonts w:ascii="Arial" w:hAnsi="Arial" w:cs="Arial"/>
                <w:b w:val="0"/>
                <w:sz w:val="18"/>
                <w:szCs w:val="18"/>
              </w:rPr>
              <w:t xml:space="preserve"> </w:t>
            </w:r>
            <w:proofErr w:type="spellStart"/>
            <w:r w:rsidRPr="00AD2F77">
              <w:rPr>
                <w:rFonts w:ascii="Arial" w:hAnsi="Arial" w:cs="Arial"/>
                <w:b w:val="0"/>
                <w:sz w:val="18"/>
                <w:szCs w:val="18"/>
              </w:rPr>
              <w:t>Association</w:t>
            </w:r>
            <w:proofErr w:type="spellEnd"/>
            <w:r w:rsidRPr="00AD2F77">
              <w:rPr>
                <w:rFonts w:ascii="Arial" w:hAnsi="Arial" w:cs="Arial"/>
                <w:b w:val="0"/>
                <w:sz w:val="18"/>
                <w:szCs w:val="18"/>
              </w:rPr>
              <w:t>. (p.3).</w:t>
            </w:r>
          </w:p>
          <w:p w:rsidR="00923AC4" w:rsidRPr="00AD2F77" w:rsidRDefault="00923AC4" w:rsidP="00823F8A">
            <w:pPr>
              <w:ind w:left="450" w:hanging="450"/>
              <w:rPr>
                <w:rFonts w:ascii="Arial" w:hAnsi="Arial" w:cs="Arial"/>
                <w:b w:val="0"/>
                <w:sz w:val="18"/>
                <w:szCs w:val="18"/>
              </w:rPr>
            </w:pPr>
          </w:p>
          <w:p w:rsidR="00923AC4" w:rsidRPr="00AD2F77" w:rsidRDefault="00923AC4" w:rsidP="00823F8A">
            <w:pPr>
              <w:ind w:left="450" w:hanging="450"/>
              <w:rPr>
                <w:rFonts w:ascii="Arial" w:hAnsi="Arial" w:cs="Arial"/>
                <w:b w:val="0"/>
                <w:sz w:val="18"/>
                <w:szCs w:val="18"/>
                <w:lang w:val="en-US"/>
              </w:rPr>
            </w:pPr>
          </w:p>
        </w:tc>
        <w:tc>
          <w:tcPr>
            <w:tcW w:w="5575" w:type="dxa"/>
          </w:tcPr>
          <w:p w:rsidR="00923AC4" w:rsidRDefault="00923AC4"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AD2F77" w:rsidRPr="00AD2F77" w:rsidRDefault="00AD2F77"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Primary research is the study of a subject through firsthand investigation, such as analyzing a literary or historical text, a film, or a performance; conducting a survey or an interview; or carrying out a laboratory experiment.  Primary sources include statistical data, historical documents, and works of literature or art.</w:t>
            </w:r>
          </w:p>
        </w:tc>
        <w:tc>
          <w:tcPr>
            <w:tcW w:w="5580" w:type="dxa"/>
          </w:tcPr>
          <w:p w:rsidR="00923AC4" w:rsidRDefault="00923AC4"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AD2F77" w:rsidRPr="00AD2F77" w:rsidRDefault="00AD2F77"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rsidR="00923AC4" w:rsidRPr="00AD2F77" w:rsidRDefault="00923AC4" w:rsidP="00006B5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Secondary research is the examination of studies that other researchers have made of a subject. Examples of secondary sources are articles and books about political issues, historical events, scientific debates, or literary works.</w:t>
            </w:r>
          </w:p>
        </w:tc>
      </w:tr>
      <w:tr w:rsidR="00923AC4" w:rsidRPr="00AD2F77" w:rsidTr="00923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3" w:type="dxa"/>
          </w:tcPr>
          <w:p w:rsidR="00923AC4" w:rsidRDefault="00923AC4" w:rsidP="00086E6D">
            <w:pPr>
              <w:jc w:val="center"/>
              <w:rPr>
                <w:rFonts w:ascii="Arial" w:hAnsi="Arial" w:cs="Arial"/>
                <w:sz w:val="18"/>
                <w:szCs w:val="18"/>
                <w:lang w:val="en-US"/>
              </w:rPr>
            </w:pPr>
          </w:p>
          <w:p w:rsidR="00AD2F77" w:rsidRPr="00AD2F77" w:rsidRDefault="00AD2F77" w:rsidP="00086E6D">
            <w:pPr>
              <w:jc w:val="center"/>
              <w:rPr>
                <w:rFonts w:ascii="Arial" w:hAnsi="Arial" w:cs="Arial"/>
                <w:sz w:val="18"/>
                <w:szCs w:val="18"/>
                <w:lang w:val="en-US"/>
              </w:rPr>
            </w:pPr>
          </w:p>
          <w:p w:rsidR="00923AC4" w:rsidRPr="00AD2F77" w:rsidRDefault="00923AC4" w:rsidP="00086E6D">
            <w:pPr>
              <w:jc w:val="center"/>
              <w:rPr>
                <w:rFonts w:ascii="Arial" w:hAnsi="Arial" w:cs="Arial"/>
                <w:b w:val="0"/>
                <w:sz w:val="18"/>
                <w:szCs w:val="18"/>
                <w:lang w:val="en-US"/>
              </w:rPr>
            </w:pPr>
            <w:r w:rsidRPr="00AD2F77">
              <w:rPr>
                <w:rFonts w:ascii="Arial" w:hAnsi="Arial" w:cs="Arial"/>
                <w:sz w:val="18"/>
                <w:szCs w:val="18"/>
                <w:lang w:val="en-US"/>
              </w:rPr>
              <w:t>General</w:t>
            </w:r>
          </w:p>
          <w:p w:rsidR="00923AC4" w:rsidRPr="00AD2F77" w:rsidRDefault="00923AC4" w:rsidP="00086E6D">
            <w:pPr>
              <w:jc w:val="center"/>
              <w:rPr>
                <w:rFonts w:ascii="Arial" w:hAnsi="Arial" w:cs="Arial"/>
                <w:b w:val="0"/>
                <w:sz w:val="18"/>
                <w:szCs w:val="18"/>
                <w:lang w:val="en-US"/>
              </w:rPr>
            </w:pPr>
          </w:p>
          <w:p w:rsidR="00923AC4" w:rsidRPr="00AD2F77" w:rsidRDefault="00923AC4" w:rsidP="0043214D">
            <w:pPr>
              <w:ind w:left="540" w:hanging="540"/>
              <w:rPr>
                <w:rFonts w:ascii="Arial" w:hAnsi="Arial" w:cs="Arial"/>
                <w:b w:val="0"/>
                <w:sz w:val="18"/>
                <w:szCs w:val="18"/>
                <w:lang w:val="en-US"/>
              </w:rPr>
            </w:pPr>
            <w:proofErr w:type="spellStart"/>
            <w:r w:rsidRPr="00AD2F77">
              <w:rPr>
                <w:rFonts w:ascii="Arial" w:hAnsi="Arial" w:cs="Arial"/>
                <w:b w:val="0"/>
                <w:sz w:val="18"/>
                <w:szCs w:val="18"/>
                <w:lang w:val="en-US"/>
              </w:rPr>
              <w:t>Turabian</w:t>
            </w:r>
            <w:proofErr w:type="spellEnd"/>
            <w:r w:rsidRPr="00AD2F77">
              <w:rPr>
                <w:rFonts w:ascii="Arial" w:hAnsi="Arial" w:cs="Arial"/>
                <w:b w:val="0"/>
                <w:sz w:val="18"/>
                <w:szCs w:val="18"/>
                <w:lang w:val="en-US"/>
              </w:rPr>
              <w:t xml:space="preserve">, K. L., &amp; Booth, W. C. (2007). </w:t>
            </w:r>
            <w:r w:rsidRPr="00AD2F77">
              <w:rPr>
                <w:rFonts w:ascii="Arial" w:hAnsi="Arial" w:cs="Arial"/>
                <w:b w:val="0"/>
                <w:i/>
                <w:iCs/>
                <w:sz w:val="18"/>
                <w:szCs w:val="18"/>
                <w:lang w:val="en-US"/>
              </w:rPr>
              <w:t>A Manual for writers of research papers, theses, and dissertations: Chicago style for students and researchers</w:t>
            </w:r>
            <w:r w:rsidRPr="00AD2F77">
              <w:rPr>
                <w:rFonts w:ascii="Arial" w:hAnsi="Arial" w:cs="Arial"/>
                <w:b w:val="0"/>
                <w:sz w:val="18"/>
                <w:szCs w:val="18"/>
                <w:lang w:val="en-US"/>
              </w:rPr>
              <w:t xml:space="preserve">. </w:t>
            </w:r>
            <w:r w:rsidRPr="00AD2F77">
              <w:rPr>
                <w:rFonts w:ascii="Arial" w:hAnsi="Arial" w:cs="Arial"/>
                <w:b w:val="0"/>
                <w:sz w:val="18"/>
                <w:szCs w:val="18"/>
              </w:rPr>
              <w:t xml:space="preserve">Chicago: </w:t>
            </w:r>
            <w:proofErr w:type="spellStart"/>
            <w:r w:rsidRPr="00AD2F77">
              <w:rPr>
                <w:rFonts w:ascii="Arial" w:hAnsi="Arial" w:cs="Arial"/>
                <w:b w:val="0"/>
                <w:sz w:val="18"/>
                <w:szCs w:val="18"/>
              </w:rPr>
              <w:t>University</w:t>
            </w:r>
            <w:proofErr w:type="spellEnd"/>
            <w:r w:rsidRPr="00AD2F77">
              <w:rPr>
                <w:rFonts w:ascii="Arial" w:hAnsi="Arial" w:cs="Arial"/>
                <w:b w:val="0"/>
                <w:sz w:val="18"/>
                <w:szCs w:val="18"/>
              </w:rPr>
              <w:t xml:space="preserve"> of Chicago </w:t>
            </w:r>
            <w:proofErr w:type="spellStart"/>
            <w:r w:rsidRPr="00AD2F77">
              <w:rPr>
                <w:rFonts w:ascii="Arial" w:hAnsi="Arial" w:cs="Arial"/>
                <w:b w:val="0"/>
                <w:sz w:val="18"/>
                <w:szCs w:val="18"/>
              </w:rPr>
              <w:t>Press</w:t>
            </w:r>
            <w:proofErr w:type="spellEnd"/>
            <w:r w:rsidRPr="00AD2F77">
              <w:rPr>
                <w:rFonts w:ascii="Arial" w:hAnsi="Arial" w:cs="Arial"/>
                <w:b w:val="0"/>
                <w:sz w:val="18"/>
                <w:szCs w:val="18"/>
              </w:rPr>
              <w:t>. (pp. 25-27)</w:t>
            </w:r>
          </w:p>
        </w:tc>
        <w:tc>
          <w:tcPr>
            <w:tcW w:w="5575" w:type="dxa"/>
          </w:tcPr>
          <w:p w:rsidR="00923AC4" w:rsidRDefault="00923AC4"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AD2F77" w:rsidRPr="00AD2F77" w:rsidRDefault="00AD2F77"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923AC4" w:rsidRPr="00AD2F77" w:rsidRDefault="00923AC4"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In the fields such as literary studies, the arts, and history, primary sources are original works –diaries, letters, manuscripts, images, films, film scripts, recordings, and musical scores created by writers, artists, composers, and so on. Those provide data… Data can also be objects: coins, clothing, tools, and other artifacts from the period or belonging to a person you’re studying. … The primary sources for those collected data are the publications that first publish them, ranging from government and commercial databases to scholarly journals.</w:t>
            </w:r>
          </w:p>
        </w:tc>
        <w:tc>
          <w:tcPr>
            <w:tcW w:w="5580" w:type="dxa"/>
          </w:tcPr>
          <w:p w:rsidR="00923AC4" w:rsidRDefault="00923AC4"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AD2F77" w:rsidRPr="00AD2F77" w:rsidRDefault="00AD2F77"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rsidR="00923AC4" w:rsidRPr="00AD2F77" w:rsidRDefault="00923AC4" w:rsidP="00006B5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AD2F77">
              <w:rPr>
                <w:rFonts w:ascii="Arial" w:hAnsi="Arial" w:cs="Arial"/>
                <w:sz w:val="18"/>
                <w:szCs w:val="18"/>
                <w:lang w:val="en-US"/>
              </w:rPr>
              <w:t>Secondary sources are books and articles that analyze primary sources, usually written by and for other researchers. … Secondary sources also include specialized encyclopedias and dictionaries that offer essays written by scholars in a field.</w:t>
            </w:r>
          </w:p>
        </w:tc>
      </w:tr>
    </w:tbl>
    <w:p w:rsidR="00A56E9D" w:rsidRPr="00AD2F77" w:rsidRDefault="00A56E9D" w:rsidP="00F55796">
      <w:pPr>
        <w:rPr>
          <w:rFonts w:ascii="Arial" w:hAnsi="Arial" w:cs="Arial"/>
          <w:sz w:val="18"/>
          <w:szCs w:val="18"/>
          <w:lang w:val="en-US"/>
        </w:rPr>
      </w:pPr>
    </w:p>
    <w:p w:rsidR="00086E6D" w:rsidRPr="00AD2F77" w:rsidRDefault="00086E6D" w:rsidP="00F55796">
      <w:pPr>
        <w:rPr>
          <w:rFonts w:ascii="Arial" w:hAnsi="Arial" w:cs="Arial"/>
          <w:sz w:val="18"/>
          <w:szCs w:val="18"/>
          <w:lang w:val="en-US"/>
        </w:rPr>
      </w:pPr>
    </w:p>
    <w:p w:rsidR="00923AC4" w:rsidRPr="00AD2F77" w:rsidRDefault="00923AC4" w:rsidP="00F55796">
      <w:pPr>
        <w:rPr>
          <w:rFonts w:ascii="Arial" w:hAnsi="Arial" w:cs="Arial"/>
          <w:sz w:val="18"/>
          <w:szCs w:val="18"/>
          <w:lang w:val="en-US"/>
        </w:rPr>
      </w:pPr>
    </w:p>
    <w:p w:rsidR="00923AC4" w:rsidRPr="00AD2F77" w:rsidRDefault="00923AC4" w:rsidP="00F55796">
      <w:pPr>
        <w:rPr>
          <w:rFonts w:ascii="Arial" w:hAnsi="Arial" w:cs="Arial"/>
          <w:sz w:val="18"/>
          <w:szCs w:val="18"/>
          <w:lang w:val="en-US"/>
        </w:rPr>
      </w:pPr>
    </w:p>
    <w:p w:rsidR="00923AC4" w:rsidRPr="00AD2F77" w:rsidRDefault="00923AC4" w:rsidP="00F55796">
      <w:pPr>
        <w:rPr>
          <w:rFonts w:ascii="Arial" w:hAnsi="Arial" w:cs="Arial"/>
          <w:sz w:val="18"/>
          <w:szCs w:val="18"/>
          <w:lang w:val="en-US"/>
        </w:rPr>
      </w:pPr>
    </w:p>
    <w:sectPr w:rsidR="00923AC4" w:rsidRPr="00AD2F77" w:rsidSect="00923AC4">
      <w:headerReference w:type="default" r:id="rId8"/>
      <w:footerReference w:type="default" r:id="rId9"/>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23B" w:rsidRDefault="00C7423B" w:rsidP="00923AC4">
      <w:pPr>
        <w:spacing w:after="0" w:line="240" w:lineRule="auto"/>
      </w:pPr>
      <w:r>
        <w:separator/>
      </w:r>
    </w:p>
  </w:endnote>
  <w:endnote w:type="continuationSeparator" w:id="0">
    <w:p w:rsidR="00C7423B" w:rsidRDefault="00C7423B" w:rsidP="00923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C4" w:rsidRPr="00D20ABF" w:rsidRDefault="00923AC4" w:rsidP="00923AC4">
    <w:pPr>
      <w:pStyle w:val="NoSpacing"/>
      <w:rPr>
        <w:rFonts w:ascii="Arial" w:hAnsi="Arial" w:cs="Arial"/>
        <w:i/>
        <w:sz w:val="18"/>
        <w:szCs w:val="18"/>
      </w:rPr>
    </w:pPr>
    <w:r w:rsidRPr="00D20ABF">
      <w:rPr>
        <w:rFonts w:ascii="Arial" w:hAnsi="Arial" w:cs="Arial"/>
        <w:i/>
        <w:sz w:val="18"/>
        <w:szCs w:val="18"/>
      </w:rPr>
      <w:t>Taller para la Integración de las Competencias de Información al Curso: Sugerencias a la Facultad</w:t>
    </w:r>
  </w:p>
  <w:p w:rsidR="00923AC4" w:rsidRPr="00D20ABF" w:rsidRDefault="00923AC4" w:rsidP="00923AC4">
    <w:pPr>
      <w:pStyle w:val="NoSpacing"/>
      <w:rPr>
        <w:rFonts w:ascii="Arial" w:hAnsi="Arial" w:cs="Arial"/>
        <w:sz w:val="18"/>
        <w:szCs w:val="18"/>
      </w:rPr>
    </w:pPr>
    <w:r w:rsidRPr="00D20ABF">
      <w:rPr>
        <w:rFonts w:ascii="Arial" w:hAnsi="Arial" w:cs="Arial"/>
        <w:sz w:val="18"/>
        <w:szCs w:val="18"/>
      </w:rPr>
      <w:t>Dra. Laurie A. Ortiz Rivera de la Biblioteca Santiago Iglesias, hijo</w:t>
    </w:r>
  </w:p>
  <w:p w:rsidR="00923AC4" w:rsidRPr="00D20ABF" w:rsidRDefault="00923AC4" w:rsidP="00923AC4">
    <w:pPr>
      <w:pStyle w:val="NoSpacing"/>
      <w:rPr>
        <w:rFonts w:ascii="Arial" w:hAnsi="Arial" w:cs="Arial"/>
        <w:sz w:val="18"/>
        <w:szCs w:val="18"/>
      </w:rPr>
    </w:pPr>
    <w:r w:rsidRPr="00D20ABF">
      <w:rPr>
        <w:rFonts w:ascii="Arial" w:hAnsi="Arial" w:cs="Arial"/>
        <w:sz w:val="18"/>
        <w:szCs w:val="18"/>
      </w:rPr>
      <w:t>Prof. Marisol Gutiérrez Rodríguez del Sistema de Bibliotecas.</w:t>
    </w:r>
  </w:p>
  <w:p w:rsidR="00923AC4" w:rsidRPr="00D20ABF" w:rsidRDefault="00923AC4" w:rsidP="00923AC4">
    <w:pPr>
      <w:pStyle w:val="NoSpacing"/>
      <w:rPr>
        <w:sz w:val="18"/>
        <w:szCs w:val="18"/>
      </w:rPr>
    </w:pPr>
    <w:r w:rsidRPr="00D20ABF">
      <w:rPr>
        <w:rFonts w:ascii="Arial" w:hAnsi="Arial" w:cs="Arial"/>
        <w:sz w:val="18"/>
        <w:szCs w:val="18"/>
      </w:rPr>
      <w:t>Viernes, 19 de octubre de 2012</w:t>
    </w:r>
    <w:r>
      <w:rPr>
        <w:rFonts w:ascii="Arial" w:hAnsi="Arial" w:cs="Arial"/>
        <w:sz w:val="18"/>
        <w:szCs w:val="18"/>
      </w:rPr>
      <w:t>, 8</w:t>
    </w:r>
    <w:r w:rsidRPr="00D20ABF">
      <w:rPr>
        <w:rFonts w:ascii="Arial" w:hAnsi="Arial" w:cs="Arial"/>
        <w:sz w:val="18"/>
        <w:szCs w:val="18"/>
      </w:rPr>
      <w:t>:30 a.m. a 12:00 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23B" w:rsidRDefault="00C7423B" w:rsidP="00923AC4">
      <w:pPr>
        <w:spacing w:after="0" w:line="240" w:lineRule="auto"/>
      </w:pPr>
      <w:r>
        <w:separator/>
      </w:r>
    </w:p>
  </w:footnote>
  <w:footnote w:type="continuationSeparator" w:id="0">
    <w:p w:rsidR="00C7423B" w:rsidRDefault="00C7423B" w:rsidP="00923A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77" w:rsidRDefault="00AD2F77" w:rsidP="00AD2F77">
    <w:pPr>
      <w:pStyle w:val="Heading1"/>
    </w:pPr>
    <w:r w:rsidRPr="00526322">
      <w:rPr>
        <w:rFonts w:cs="Times New Roman"/>
        <w:color w:val="auto"/>
      </w:rPr>
      <w:t>Fuentes primarias</w:t>
    </w:r>
    <w:r>
      <w:rPr>
        <w:rFonts w:cs="Times New Roman"/>
        <w:color w:val="auto"/>
      </w:rPr>
      <w:t xml:space="preserve"> y</w:t>
    </w:r>
    <w:r w:rsidRPr="00526322">
      <w:rPr>
        <w:rFonts w:cs="Times New Roman"/>
        <w:color w:val="auto"/>
      </w:rPr>
      <w:t xml:space="preserve"> secundarias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915B1"/>
    <w:multiLevelType w:val="hybridMultilevel"/>
    <w:tmpl w:val="9B80E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B53"/>
    <w:rsid w:val="00006B53"/>
    <w:rsid w:val="00007898"/>
    <w:rsid w:val="00086E6D"/>
    <w:rsid w:val="00165980"/>
    <w:rsid w:val="0019657B"/>
    <w:rsid w:val="002149EC"/>
    <w:rsid w:val="0028421C"/>
    <w:rsid w:val="00290B0F"/>
    <w:rsid w:val="00290D15"/>
    <w:rsid w:val="00297546"/>
    <w:rsid w:val="00330B29"/>
    <w:rsid w:val="003344D5"/>
    <w:rsid w:val="0036129F"/>
    <w:rsid w:val="0043214D"/>
    <w:rsid w:val="00447E41"/>
    <w:rsid w:val="004809EC"/>
    <w:rsid w:val="004A128A"/>
    <w:rsid w:val="004F2D83"/>
    <w:rsid w:val="00526322"/>
    <w:rsid w:val="005264D7"/>
    <w:rsid w:val="0055689C"/>
    <w:rsid w:val="00624BC4"/>
    <w:rsid w:val="00650858"/>
    <w:rsid w:val="007D3289"/>
    <w:rsid w:val="00823F8A"/>
    <w:rsid w:val="008665C7"/>
    <w:rsid w:val="00922199"/>
    <w:rsid w:val="00923AC4"/>
    <w:rsid w:val="00937A8D"/>
    <w:rsid w:val="00941659"/>
    <w:rsid w:val="009421A5"/>
    <w:rsid w:val="00A248B9"/>
    <w:rsid w:val="00A56E9D"/>
    <w:rsid w:val="00AD2F77"/>
    <w:rsid w:val="00B2490D"/>
    <w:rsid w:val="00B34D49"/>
    <w:rsid w:val="00C23603"/>
    <w:rsid w:val="00C326EF"/>
    <w:rsid w:val="00C7423B"/>
    <w:rsid w:val="00CE59DC"/>
    <w:rsid w:val="00CF6990"/>
    <w:rsid w:val="00E1058B"/>
    <w:rsid w:val="00E42583"/>
    <w:rsid w:val="00E62019"/>
    <w:rsid w:val="00E771B0"/>
    <w:rsid w:val="00E86624"/>
    <w:rsid w:val="00F201EB"/>
    <w:rsid w:val="00F37646"/>
    <w:rsid w:val="00F55796"/>
    <w:rsid w:val="00FC0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R"/>
    </w:rPr>
  </w:style>
  <w:style w:type="paragraph" w:styleId="Heading1">
    <w:name w:val="heading 1"/>
    <w:basedOn w:val="Normal"/>
    <w:next w:val="Normal"/>
    <w:link w:val="Heading1Char"/>
    <w:uiPriority w:val="9"/>
    <w:qFormat/>
    <w:rsid w:val="00E425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B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3">
    <w:name w:val="Medium Grid 2 Accent 3"/>
    <w:basedOn w:val="TableNormal"/>
    <w:uiPriority w:val="68"/>
    <w:rsid w:val="00FC0F6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character" w:customStyle="1" w:styleId="hps">
    <w:name w:val="hps"/>
    <w:basedOn w:val="DefaultParagraphFont"/>
    <w:rsid w:val="00937A8D"/>
  </w:style>
  <w:style w:type="paragraph" w:styleId="ListParagraph">
    <w:name w:val="List Paragraph"/>
    <w:basedOn w:val="Normal"/>
    <w:uiPriority w:val="34"/>
    <w:qFormat/>
    <w:rsid w:val="00B34D49"/>
    <w:pPr>
      <w:ind w:left="720"/>
      <w:contextualSpacing/>
    </w:pPr>
    <w:rPr>
      <w:rFonts w:eastAsiaTheme="minorEastAsia"/>
      <w:lang w:val="en-US"/>
    </w:rPr>
  </w:style>
  <w:style w:type="table" w:styleId="ColorfulList-Accent4">
    <w:name w:val="Colorful List Accent 4"/>
    <w:basedOn w:val="TableNormal"/>
    <w:uiPriority w:val="72"/>
    <w:rsid w:val="00B34D49"/>
    <w:pPr>
      <w:spacing w:after="0" w:line="240" w:lineRule="auto"/>
    </w:pPr>
    <w:rPr>
      <w:rFonts w:eastAsiaTheme="minorEastAsi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character" w:customStyle="1" w:styleId="Heading1Char">
    <w:name w:val="Heading 1 Char"/>
    <w:basedOn w:val="DefaultParagraphFont"/>
    <w:link w:val="Heading1"/>
    <w:uiPriority w:val="9"/>
    <w:rsid w:val="00E42583"/>
    <w:rPr>
      <w:rFonts w:asciiTheme="majorHAnsi" w:eastAsiaTheme="majorEastAsia" w:hAnsiTheme="majorHAnsi" w:cstheme="majorBidi"/>
      <w:b/>
      <w:bCs/>
      <w:color w:val="365F91" w:themeColor="accent1" w:themeShade="BF"/>
      <w:sz w:val="28"/>
      <w:szCs w:val="28"/>
      <w:lang w:val="es-PR"/>
    </w:rPr>
  </w:style>
  <w:style w:type="table" w:styleId="MediumGrid2-Accent6">
    <w:name w:val="Medium Grid 2 Accent 6"/>
    <w:basedOn w:val="TableNormal"/>
    <w:uiPriority w:val="68"/>
    <w:rsid w:val="00E425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NoSpacing">
    <w:name w:val="No Spacing"/>
    <w:uiPriority w:val="1"/>
    <w:qFormat/>
    <w:rsid w:val="00086E6D"/>
    <w:pPr>
      <w:spacing w:after="0" w:line="240" w:lineRule="auto"/>
    </w:pPr>
    <w:rPr>
      <w:lang w:val="es-PR"/>
    </w:rPr>
  </w:style>
  <w:style w:type="paragraph" w:styleId="Header">
    <w:name w:val="header"/>
    <w:basedOn w:val="Normal"/>
    <w:link w:val="HeaderChar"/>
    <w:uiPriority w:val="99"/>
    <w:unhideWhenUsed/>
    <w:rsid w:val="00923A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AC4"/>
    <w:rPr>
      <w:lang w:val="es-PR"/>
    </w:rPr>
  </w:style>
  <w:style w:type="paragraph" w:styleId="Footer">
    <w:name w:val="footer"/>
    <w:basedOn w:val="Normal"/>
    <w:link w:val="FooterChar"/>
    <w:uiPriority w:val="99"/>
    <w:unhideWhenUsed/>
    <w:rsid w:val="0092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AC4"/>
    <w:rPr>
      <w:lang w:val="es-PR"/>
    </w:rPr>
  </w:style>
  <w:style w:type="paragraph" w:styleId="BalloonText">
    <w:name w:val="Balloon Text"/>
    <w:basedOn w:val="Normal"/>
    <w:link w:val="BalloonTextChar"/>
    <w:uiPriority w:val="99"/>
    <w:semiHidden/>
    <w:unhideWhenUsed/>
    <w:rsid w:val="0092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AC4"/>
    <w:rPr>
      <w:rFonts w:ascii="Tahoma" w:hAnsi="Tahoma" w:cs="Tahoma"/>
      <w:sz w:val="16"/>
      <w:szCs w:val="16"/>
      <w:lang w:val="es-P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R"/>
    </w:rPr>
  </w:style>
  <w:style w:type="paragraph" w:styleId="Heading1">
    <w:name w:val="heading 1"/>
    <w:basedOn w:val="Normal"/>
    <w:next w:val="Normal"/>
    <w:link w:val="Heading1Char"/>
    <w:uiPriority w:val="9"/>
    <w:qFormat/>
    <w:rsid w:val="00E425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B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3">
    <w:name w:val="Medium Grid 2 Accent 3"/>
    <w:basedOn w:val="TableNormal"/>
    <w:uiPriority w:val="68"/>
    <w:rsid w:val="00FC0F6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character" w:customStyle="1" w:styleId="hps">
    <w:name w:val="hps"/>
    <w:basedOn w:val="DefaultParagraphFont"/>
    <w:rsid w:val="00937A8D"/>
  </w:style>
  <w:style w:type="paragraph" w:styleId="ListParagraph">
    <w:name w:val="List Paragraph"/>
    <w:basedOn w:val="Normal"/>
    <w:uiPriority w:val="34"/>
    <w:qFormat/>
    <w:rsid w:val="00B34D49"/>
    <w:pPr>
      <w:ind w:left="720"/>
      <w:contextualSpacing/>
    </w:pPr>
    <w:rPr>
      <w:rFonts w:eastAsiaTheme="minorEastAsia"/>
      <w:lang w:val="en-US"/>
    </w:rPr>
  </w:style>
  <w:style w:type="table" w:styleId="ColorfulList-Accent4">
    <w:name w:val="Colorful List Accent 4"/>
    <w:basedOn w:val="TableNormal"/>
    <w:uiPriority w:val="72"/>
    <w:rsid w:val="00B34D49"/>
    <w:pPr>
      <w:spacing w:after="0" w:line="240" w:lineRule="auto"/>
    </w:pPr>
    <w:rPr>
      <w:rFonts w:eastAsiaTheme="minorEastAsi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character" w:customStyle="1" w:styleId="Heading1Char">
    <w:name w:val="Heading 1 Char"/>
    <w:basedOn w:val="DefaultParagraphFont"/>
    <w:link w:val="Heading1"/>
    <w:uiPriority w:val="9"/>
    <w:rsid w:val="00E42583"/>
    <w:rPr>
      <w:rFonts w:asciiTheme="majorHAnsi" w:eastAsiaTheme="majorEastAsia" w:hAnsiTheme="majorHAnsi" w:cstheme="majorBidi"/>
      <w:b/>
      <w:bCs/>
      <w:color w:val="365F91" w:themeColor="accent1" w:themeShade="BF"/>
      <w:sz w:val="28"/>
      <w:szCs w:val="28"/>
      <w:lang w:val="es-PR"/>
    </w:rPr>
  </w:style>
  <w:style w:type="table" w:styleId="MediumGrid2-Accent6">
    <w:name w:val="Medium Grid 2 Accent 6"/>
    <w:basedOn w:val="TableNormal"/>
    <w:uiPriority w:val="68"/>
    <w:rsid w:val="00E425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NoSpacing">
    <w:name w:val="No Spacing"/>
    <w:uiPriority w:val="1"/>
    <w:qFormat/>
    <w:rsid w:val="00086E6D"/>
    <w:pPr>
      <w:spacing w:after="0" w:line="240" w:lineRule="auto"/>
    </w:pPr>
    <w:rPr>
      <w:lang w:val="es-PR"/>
    </w:rPr>
  </w:style>
  <w:style w:type="paragraph" w:styleId="Header">
    <w:name w:val="header"/>
    <w:basedOn w:val="Normal"/>
    <w:link w:val="HeaderChar"/>
    <w:uiPriority w:val="99"/>
    <w:unhideWhenUsed/>
    <w:rsid w:val="00923A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AC4"/>
    <w:rPr>
      <w:lang w:val="es-PR"/>
    </w:rPr>
  </w:style>
  <w:style w:type="paragraph" w:styleId="Footer">
    <w:name w:val="footer"/>
    <w:basedOn w:val="Normal"/>
    <w:link w:val="FooterChar"/>
    <w:uiPriority w:val="99"/>
    <w:unhideWhenUsed/>
    <w:rsid w:val="0092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AC4"/>
    <w:rPr>
      <w:lang w:val="es-PR"/>
    </w:rPr>
  </w:style>
  <w:style w:type="paragraph" w:styleId="BalloonText">
    <w:name w:val="Balloon Text"/>
    <w:basedOn w:val="Normal"/>
    <w:link w:val="BalloonTextChar"/>
    <w:uiPriority w:val="99"/>
    <w:semiHidden/>
    <w:unhideWhenUsed/>
    <w:rsid w:val="00923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AC4"/>
    <w:rPr>
      <w:rFonts w:ascii="Tahoma" w:hAnsi="Tahoma" w:cs="Tahoma"/>
      <w:sz w:val="16"/>
      <w:szCs w:val="16"/>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698</Words>
  <Characters>3985</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UPRRP</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Ortiz</dc:creator>
  <cp:lastModifiedBy>OPTIPLEX 780</cp:lastModifiedBy>
  <cp:revision>2</cp:revision>
  <dcterms:created xsi:type="dcterms:W3CDTF">2012-10-23T17:42:00Z</dcterms:created>
  <dcterms:modified xsi:type="dcterms:W3CDTF">2012-10-23T17:42:00Z</dcterms:modified>
</cp:coreProperties>
</file>